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7AFE">
      <w:pPr>
        <w:pStyle w:val="printredaction-line"/>
        <w:divId w:val="1679573423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7 мая 2019</w:t>
      </w:r>
    </w:p>
    <w:p w:rsidR="00000000" w:rsidRDefault="00D87AFE">
      <w:pPr>
        <w:divId w:val="99437850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13.03.2019 № 114</w:t>
      </w:r>
    </w:p>
    <w:p w:rsidR="00000000" w:rsidRDefault="00D87AFE">
      <w:pPr>
        <w:pStyle w:val="2"/>
        <w:divId w:val="167957342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</w:t>
      </w:r>
      <w:r>
        <w:rPr>
          <w:rFonts w:ascii="Georgia" w:eastAsia="Times New Roman" w:hAnsi="Georgia"/>
        </w:rPr>
        <w:t xml:space="preserve">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00000" w:rsidRDefault="00D87AFE">
      <w:pPr>
        <w:spacing w:after="223"/>
        <w:jc w:val="both"/>
        <w:divId w:val="521211083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550817534/XA00M2M2MA/" w:history="1">
        <w:r>
          <w:rPr>
            <w:rStyle w:val="a4"/>
            <w:rFonts w:ascii="Georgia" w:hAnsi="Georgia"/>
          </w:rPr>
          <w:t>подпунктом 4.2.49 Положен</w:t>
        </w:r>
        <w:r>
          <w:rPr>
            <w:rStyle w:val="a4"/>
            <w:rFonts w:ascii="Georgia" w:hAnsi="Georgia"/>
          </w:rPr>
          <w:t>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 "Об утверждении Положения о Министер</w:t>
        </w:r>
        <w:r>
          <w:rPr>
            <w:rStyle w:val="a4"/>
            <w:rFonts w:ascii="Georgia" w:hAnsi="Georgia"/>
          </w:rPr>
          <w:t>стве просвещения Российской Федерации и признании утратившими силу некоторых актов Правительства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ст.5343),</w:t>
      </w:r>
      <w:r>
        <w:rPr>
          <w:rFonts w:ascii="Georgia" w:hAnsi="Georgia"/>
        </w:rPr>
        <w:t xml:space="preserve"> </w:t>
      </w:r>
    </w:p>
    <w:p w:rsidR="00000000" w:rsidRDefault="00D87AFE">
      <w:pPr>
        <w:spacing w:after="223"/>
        <w:jc w:val="both"/>
        <w:divId w:val="521211083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D87AFE">
      <w:pPr>
        <w:spacing w:after="223"/>
        <w:jc w:val="both"/>
        <w:divId w:val="521211083"/>
        <w:rPr>
          <w:rFonts w:ascii="Georgia" w:hAnsi="Georgia"/>
        </w:rPr>
      </w:pPr>
      <w:r>
        <w:rPr>
          <w:rFonts w:ascii="Georgia" w:hAnsi="Georgia"/>
        </w:rPr>
        <w:t xml:space="preserve">Утвердить прилагаемые </w:t>
      </w:r>
      <w:hyperlink r:id="rId7" w:anchor="/document/99/553940615/XA00LTK2M0/" w:tgtFrame="_self" w:history="1">
        <w:r>
          <w:rPr>
            <w:rStyle w:val="a4"/>
            <w:rFonts w:ascii="Georgia" w:hAnsi="Georgia"/>
          </w:rPr>
          <w:t>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</w:t>
        </w:r>
        <w:r>
          <w:rPr>
            <w:rStyle w:val="a4"/>
            <w:rFonts w:ascii="Georgia" w:hAnsi="Georgia"/>
          </w:rPr>
          <w:t>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  </w:r>
      </w:hyperlink>
      <w:r>
        <w:rPr>
          <w:rFonts w:ascii="Georgia" w:hAnsi="Georgia"/>
        </w:rPr>
        <w:t>.</w:t>
      </w:r>
    </w:p>
    <w:p w:rsidR="00000000" w:rsidRDefault="00D87AFE">
      <w:pPr>
        <w:spacing w:after="223"/>
        <w:divId w:val="1047724801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t xml:space="preserve"> </w:t>
      </w:r>
    </w:p>
    <w:p w:rsidR="00000000" w:rsidRDefault="00D87AFE">
      <w:pPr>
        <w:spacing w:after="223"/>
        <w:divId w:val="1047724801"/>
        <w:rPr>
          <w:rFonts w:ascii="Georgia" w:hAnsi="Georgia"/>
        </w:rPr>
      </w:pPr>
      <w:r>
        <w:rPr>
          <w:rFonts w:ascii="Georgia" w:hAnsi="Georgia"/>
        </w:rPr>
        <w:t>О.Ю.Васильева</w:t>
      </w:r>
      <w:r>
        <w:rPr>
          <w:rFonts w:ascii="Georgia" w:hAnsi="Georgia"/>
        </w:rPr>
        <w:t xml:space="preserve"> </w:t>
      </w:r>
    </w:p>
    <w:p w:rsidR="00000000" w:rsidRDefault="00D87AFE">
      <w:pPr>
        <w:spacing w:after="223"/>
        <w:jc w:val="both"/>
        <w:divId w:val="11407272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D87AFE">
      <w:pPr>
        <w:spacing w:after="223"/>
        <w:jc w:val="both"/>
        <w:divId w:val="11407272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D87AFE">
      <w:pPr>
        <w:spacing w:after="223"/>
        <w:jc w:val="both"/>
        <w:divId w:val="11407272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Российской </w:t>
      </w:r>
      <w:r>
        <w:rPr>
          <w:rFonts w:ascii="Helvetica" w:hAnsi="Helvetica" w:cs="Helvetica"/>
          <w:sz w:val="20"/>
          <w:szCs w:val="20"/>
        </w:rPr>
        <w:t>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D87AFE">
      <w:pPr>
        <w:spacing w:after="223"/>
        <w:jc w:val="both"/>
        <w:divId w:val="11407272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25 апреля 2019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D87AFE">
      <w:pPr>
        <w:spacing w:after="223"/>
        <w:jc w:val="both"/>
        <w:divId w:val="114072727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54499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D87AFE">
      <w:pPr>
        <w:pStyle w:val="align-right"/>
        <w:divId w:val="521211083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D87AFE">
      <w:pPr>
        <w:pStyle w:val="align-right"/>
        <w:divId w:val="521211083"/>
        <w:rPr>
          <w:rFonts w:ascii="Georgia" w:hAnsi="Georgia"/>
        </w:rPr>
      </w:pPr>
      <w:r>
        <w:rPr>
          <w:rFonts w:ascii="Georgia" w:hAnsi="Georgia"/>
        </w:rPr>
        <w:lastRenderedPageBreak/>
        <w:t>УТВЕРЖДЕНЫ</w:t>
      </w:r>
      <w:r>
        <w:rPr>
          <w:rFonts w:ascii="Georgia" w:hAnsi="Georgia"/>
        </w:rPr>
        <w:t xml:space="preserve"> </w:t>
      </w:r>
    </w:p>
    <w:p w:rsidR="00000000" w:rsidRDefault="00D87AFE">
      <w:pPr>
        <w:pStyle w:val="align-right"/>
        <w:divId w:val="521211083"/>
        <w:rPr>
          <w:rFonts w:ascii="Georgia" w:hAnsi="Georgia"/>
        </w:rPr>
      </w:pPr>
      <w:r>
        <w:rPr>
          <w:rFonts w:ascii="Georgia" w:hAnsi="Georgia"/>
        </w:rPr>
        <w:t>приказом Министерства</w:t>
      </w:r>
      <w:r>
        <w:rPr>
          <w:rFonts w:ascii="Georgia" w:hAnsi="Georgia"/>
        </w:rPr>
        <w:t xml:space="preserve"> </w:t>
      </w:r>
    </w:p>
    <w:p w:rsidR="00000000" w:rsidRDefault="00D87AFE">
      <w:pPr>
        <w:pStyle w:val="align-right"/>
        <w:divId w:val="521211083"/>
        <w:rPr>
          <w:rFonts w:ascii="Georgia" w:hAnsi="Georgia"/>
        </w:rPr>
      </w:pPr>
      <w:r>
        <w:rPr>
          <w:rFonts w:ascii="Georgia" w:hAnsi="Georgia"/>
        </w:rPr>
        <w:t>просвещения Российской Федерации</w:t>
      </w:r>
      <w:r>
        <w:rPr>
          <w:rFonts w:ascii="Georgia" w:hAnsi="Georgia"/>
        </w:rPr>
        <w:t xml:space="preserve"> </w:t>
      </w:r>
    </w:p>
    <w:p w:rsidR="00000000" w:rsidRDefault="00D87AFE">
      <w:pPr>
        <w:pStyle w:val="align-right"/>
        <w:divId w:val="521211083"/>
        <w:rPr>
          <w:rFonts w:ascii="Georgia" w:hAnsi="Georgia"/>
        </w:rPr>
      </w:pPr>
      <w:r>
        <w:rPr>
          <w:rFonts w:ascii="Georgia" w:hAnsi="Georgia"/>
        </w:rPr>
        <w:t>от 13 марта 2019 года № 114</w:t>
      </w:r>
      <w:r>
        <w:rPr>
          <w:rFonts w:ascii="Georgia" w:hAnsi="Georgia"/>
        </w:rPr>
        <w:t xml:space="preserve"> </w:t>
      </w:r>
    </w:p>
    <w:p w:rsidR="00000000" w:rsidRDefault="00D87AFE">
      <w:pPr>
        <w:divId w:val="113148562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Показатели, характеризующие общие критерии оценки качества условий осуществле</w:t>
      </w:r>
      <w:r>
        <w:rPr>
          <w:rStyle w:val="docsupplement-name"/>
          <w:rFonts w:ascii="Georgia" w:eastAsia="Times New Roman" w:hAnsi="Georgia"/>
        </w:rPr>
        <w:t>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</w:t>
      </w:r>
      <w:r>
        <w:rPr>
          <w:rStyle w:val="docsupplement-name"/>
          <w:rFonts w:ascii="Georgia" w:eastAsia="Times New Roman" w:hAnsi="Georgia"/>
        </w:rPr>
        <w:t>лнительным общеобразовательным программа</w:t>
      </w:r>
      <w:r>
        <w:rPr>
          <w:rStyle w:val="docsupplement-name"/>
          <w:rFonts w:ascii="Georgia" w:eastAsia="Times New Roman" w:hAnsi="Georgia"/>
        </w:rPr>
        <w:t>м</w:t>
      </w:r>
    </w:p>
    <w:p w:rsidR="00000000" w:rsidRDefault="00D87AFE">
      <w:pPr>
        <w:divId w:val="122711224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Показатели, характеризующие открытость и доступность информации об организации, осуществляющей образовательную деятельность (далее - организации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6"/>
        <w:gridCol w:w="8799"/>
      </w:tblGrid>
      <w:tr w:rsidR="00000000">
        <w:trPr>
          <w:divId w:val="461004756"/>
        </w:trPr>
        <w:tc>
          <w:tcPr>
            <w:tcW w:w="92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  <w:tc>
          <w:tcPr>
            <w:tcW w:w="1053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</w:tr>
      <w:tr w:rsidR="00000000">
        <w:trPr>
          <w:divId w:val="46100475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№ п/п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Показатели </w:t>
            </w:r>
          </w:p>
        </w:tc>
      </w:tr>
      <w:tr w:rsidR="00000000">
        <w:trPr>
          <w:divId w:val="46100475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1.1.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000000" w:rsidRDefault="00D87AFE">
            <w:pPr>
              <w:pStyle w:val="formattext"/>
            </w:pPr>
            <w:r>
              <w:t>- на информационных стендах в помещении организации;</w:t>
            </w:r>
          </w:p>
          <w:p w:rsidR="00000000" w:rsidRDefault="00D87AFE">
            <w:pPr>
              <w:pStyle w:val="formattext"/>
            </w:pPr>
            <w:r>
              <w:t>- на офи</w:t>
            </w:r>
            <w:r>
              <w:t>циальном сайте организации в информационно-телекоммуникационной сети "Интернет" (далее - сайт)</w:t>
            </w:r>
            <w:r>
              <w:rPr>
                <w:noProof/>
              </w:rPr>
              <w:drawing>
                <wp:inline distT="0" distB="0" distL="0" distR="0">
                  <wp:extent cx="85090" cy="223520"/>
                  <wp:effectExtent l="0" t="0" r="0" b="5080"/>
                  <wp:docPr id="1" name="Рисунок 1" descr="https://vip.1obraz.ru/system/content/image/52/1/27035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p.1obraz.ru/system/content/image/52/1/27035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46100475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1.2.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000000" w:rsidRDefault="00D87AFE">
            <w:pPr>
              <w:pStyle w:val="formattext"/>
            </w:pPr>
            <w:r>
              <w:t>- телефона;</w:t>
            </w:r>
          </w:p>
          <w:p w:rsidR="00000000" w:rsidRDefault="00D87AFE">
            <w:pPr>
              <w:pStyle w:val="formattext"/>
            </w:pPr>
            <w:r>
              <w:t>- электронной почты;</w:t>
            </w:r>
          </w:p>
          <w:p w:rsidR="00000000" w:rsidRDefault="00D87AFE">
            <w:pPr>
              <w:pStyle w:val="formattext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000000" w:rsidRDefault="00D87AFE">
            <w:pPr>
              <w:pStyle w:val="formattext"/>
            </w:pPr>
            <w:r>
              <w:t>- технической возможности выражения получателями образовательных услуг мнения о качеств</w:t>
            </w:r>
            <w:r>
              <w:t>е оказания услуг (наличие анкеты для опроса граждан или гиперссылки на нее)</w:t>
            </w:r>
          </w:p>
        </w:tc>
      </w:tr>
      <w:tr w:rsidR="00000000">
        <w:trPr>
          <w:divId w:val="46100475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1.3.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</w:t>
            </w:r>
            <w:r>
              <w:t xml:space="preserve"> на сайте (в % от общего числа опрошенных получателей образовательных услуг)</w:t>
            </w:r>
          </w:p>
        </w:tc>
      </w:tr>
    </w:tbl>
    <w:p w:rsidR="00000000" w:rsidRDefault="00D87AFE">
      <w:pPr>
        <w:divId w:val="107041842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85090" cy="223520"/>
            <wp:effectExtent l="0" t="0" r="0" b="5080"/>
            <wp:docPr id="2" name="Рисунок 2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/document/99/902389617/XA00MFC2NF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29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2012, № 53, ст.7598; 2015, № 27, ст.3989),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" w:anchor="/document/99/49903248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10 июля 2013 г. № 582 "Об утверждении правил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2013, № 29, ст.3964; 2015, № 43, ст.5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979; 2017, № 21, ст.3025; № 33, ст.5202).</w:t>
      </w:r>
    </w:p>
    <w:p w:rsidR="00000000" w:rsidRDefault="00D87AFE">
      <w:pPr>
        <w:divId w:val="33661207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Показатели, характеризующие комфортность условий, в которых осуществляется образовательная деятельност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62"/>
        <w:gridCol w:w="8793"/>
      </w:tblGrid>
      <w:tr w:rsidR="00000000">
        <w:trPr>
          <w:divId w:val="1051735277"/>
        </w:trPr>
        <w:tc>
          <w:tcPr>
            <w:tcW w:w="92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  <w:tc>
          <w:tcPr>
            <w:tcW w:w="1053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</w:tr>
      <w:tr w:rsidR="00000000">
        <w:trPr>
          <w:divId w:val="105173527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№ п/п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Показатели </w:t>
            </w:r>
          </w:p>
        </w:tc>
      </w:tr>
      <w:tr w:rsidR="00000000">
        <w:trPr>
          <w:divId w:val="105173527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2.1.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000000" w:rsidRDefault="00D87AFE">
            <w:pPr>
              <w:pStyle w:val="formattext"/>
            </w:pPr>
            <w:r>
              <w:t>- наличие зоны отдыха (ожидания);</w:t>
            </w:r>
          </w:p>
          <w:p w:rsidR="00000000" w:rsidRDefault="00D87AFE">
            <w:pPr>
              <w:pStyle w:val="formattext"/>
            </w:pPr>
            <w:r>
              <w:t>- наличие и понятность навигации внутри организации;</w:t>
            </w:r>
          </w:p>
          <w:p w:rsidR="00000000" w:rsidRDefault="00D87AFE">
            <w:pPr>
              <w:pStyle w:val="formattext"/>
            </w:pPr>
            <w:r>
              <w:t>- наличие и доступность питьевой воды;</w:t>
            </w:r>
          </w:p>
          <w:p w:rsidR="00000000" w:rsidRDefault="00D87AFE">
            <w:pPr>
              <w:pStyle w:val="formattext"/>
            </w:pPr>
            <w:r>
              <w:t>- наличие и доступность санитарно-гигиенических помещений;</w:t>
            </w:r>
          </w:p>
          <w:p w:rsidR="00000000" w:rsidRDefault="00D87AFE">
            <w:pPr>
              <w:pStyle w:val="formattext"/>
            </w:pPr>
            <w:r>
              <w:t xml:space="preserve">- санитарное состояние помещений организации </w:t>
            </w:r>
          </w:p>
        </w:tc>
      </w:tr>
      <w:tr w:rsidR="00000000">
        <w:trPr>
          <w:divId w:val="105173527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2.2.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 xml:space="preserve">Доля получателей образовательных услуг, удовлетворенных комфортностью условий, в которых осуществляется образовательная деятельность (в % от </w:t>
            </w:r>
            <w:r>
              <w:t>общего числа опрошенных получателей образовательных услуг)</w:t>
            </w:r>
          </w:p>
        </w:tc>
      </w:tr>
    </w:tbl>
    <w:p w:rsidR="00000000" w:rsidRDefault="00D87AFE">
      <w:pPr>
        <w:divId w:val="9129325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Показатели, характеризующие доступность образовательной деятельности для инвалидо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4"/>
        <w:gridCol w:w="8801"/>
      </w:tblGrid>
      <w:tr w:rsidR="00000000">
        <w:trPr>
          <w:divId w:val="366877566"/>
        </w:trPr>
        <w:tc>
          <w:tcPr>
            <w:tcW w:w="92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  <w:tc>
          <w:tcPr>
            <w:tcW w:w="1053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</w:tr>
      <w:tr w:rsidR="00000000">
        <w:trPr>
          <w:divId w:val="36687756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№ п/п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Показатели </w:t>
            </w:r>
          </w:p>
        </w:tc>
      </w:tr>
      <w:tr w:rsidR="00000000">
        <w:trPr>
          <w:divId w:val="36687756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3.1.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000000" w:rsidRDefault="00D87AFE">
            <w:pPr>
              <w:pStyle w:val="formattext"/>
            </w:pPr>
            <w:r>
              <w:t>- оборудование входных групп пандусами (подъемными платформами);</w:t>
            </w:r>
          </w:p>
          <w:p w:rsidR="00000000" w:rsidRDefault="00D87AFE">
            <w:pPr>
              <w:pStyle w:val="formattext"/>
            </w:pPr>
            <w:r>
              <w:t>- наличие выделенных стоянок для автотранспортных средств инвалидов;</w:t>
            </w:r>
          </w:p>
          <w:p w:rsidR="00000000" w:rsidRDefault="00D87AFE">
            <w:pPr>
              <w:pStyle w:val="formattext"/>
            </w:pPr>
            <w:r>
              <w:t>- наличие адап</w:t>
            </w:r>
            <w:r>
              <w:t>тированных лифтов, поручней, расширенных дверных проемов;</w:t>
            </w:r>
          </w:p>
          <w:p w:rsidR="00000000" w:rsidRDefault="00D87AFE">
            <w:pPr>
              <w:pStyle w:val="formattext"/>
            </w:pPr>
            <w:r>
              <w:t>- наличие сменных кресел-колясок;</w:t>
            </w:r>
          </w:p>
          <w:p w:rsidR="00000000" w:rsidRDefault="00D87AFE">
            <w:pPr>
              <w:pStyle w:val="formattext"/>
            </w:pPr>
            <w:r>
              <w:t xml:space="preserve">- наличие специально оборудованных санитарно-гигиенических помещений в </w:t>
            </w:r>
            <w:r>
              <w:lastRenderedPageBreak/>
              <w:t xml:space="preserve">организации </w:t>
            </w:r>
          </w:p>
        </w:tc>
      </w:tr>
      <w:tr w:rsidR="00000000">
        <w:trPr>
          <w:divId w:val="36687756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lastRenderedPageBreak/>
              <w:t>3.2.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Обеспечение в организации условий доступности, позволяющих инвалидам п</w:t>
            </w:r>
            <w:r>
              <w:t>олучать образовательные услуги наравне с другими:</w:t>
            </w:r>
          </w:p>
          <w:p w:rsidR="00000000" w:rsidRDefault="00D87AFE">
            <w:pPr>
              <w:pStyle w:val="formattext"/>
            </w:pPr>
            <w:r>
              <w:t>- дублирование для инвалидов по слуху и зрению звуковой и зрительной информации;</w:t>
            </w:r>
          </w:p>
          <w:p w:rsidR="00000000" w:rsidRDefault="00D87AFE">
            <w:pPr>
              <w:pStyle w:val="formattext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0000" w:rsidRDefault="00D87AFE">
            <w:pPr>
              <w:pStyle w:val="formattext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000000" w:rsidRDefault="00D87AFE">
            <w:pPr>
              <w:pStyle w:val="formattext"/>
            </w:pPr>
            <w:r>
              <w:t>- альтернатив</w:t>
            </w:r>
            <w:r>
              <w:t>ной версии сайта организации для инвалидов по зрению;</w:t>
            </w:r>
          </w:p>
          <w:p w:rsidR="00000000" w:rsidRDefault="00D87AFE">
            <w:pPr>
              <w:pStyle w:val="formattext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000000" w:rsidRDefault="00D87AFE">
            <w:pPr>
              <w:pStyle w:val="formattext"/>
            </w:pPr>
            <w:r>
              <w:t xml:space="preserve">- возможность предоставления образовательных услуг </w:t>
            </w:r>
            <w:r>
              <w:t xml:space="preserve">в дистанционном режиме или на дому </w:t>
            </w:r>
          </w:p>
        </w:tc>
      </w:tr>
      <w:tr w:rsidR="00000000">
        <w:trPr>
          <w:divId w:val="36687756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3.3.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000000" w:rsidRDefault="00D87AFE">
      <w:pPr>
        <w:divId w:val="13850563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Показатели, характеризующие доброжелательность, вежливость работников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2"/>
        <w:gridCol w:w="8803"/>
      </w:tblGrid>
      <w:tr w:rsidR="00000000">
        <w:trPr>
          <w:divId w:val="1675186636"/>
        </w:trPr>
        <w:tc>
          <w:tcPr>
            <w:tcW w:w="924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</w:tr>
      <w:tr w:rsidR="00000000">
        <w:trPr>
          <w:divId w:val="167518663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№ п/п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Показатели </w:t>
            </w:r>
          </w:p>
        </w:tc>
      </w:tr>
      <w:tr w:rsidR="00000000">
        <w:trPr>
          <w:divId w:val="167518663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4.1.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</w:t>
            </w:r>
            <w:r>
              <w:t>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000000">
        <w:trPr>
          <w:divId w:val="167518663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4.2.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</w:t>
            </w:r>
            <w:r>
              <w:t>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000000">
        <w:trPr>
          <w:divId w:val="167518663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4.3.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 xml:space="preserve">Доля получателей образовательных услуг, удовлетворенных доброжелательностью, вежливостью работников организации при использовании </w:t>
            </w:r>
            <w:r>
              <w:lastRenderedPageBreak/>
              <w:t>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000000" w:rsidRDefault="00D87AFE">
      <w:pPr>
        <w:divId w:val="5486142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Показатели, характериз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ующие удовлетворенность условиями осуществления образовательной деятельности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3"/>
        <w:gridCol w:w="8942"/>
      </w:tblGrid>
      <w:tr w:rsidR="00000000">
        <w:trPr>
          <w:divId w:val="230506500"/>
        </w:trPr>
        <w:tc>
          <w:tcPr>
            <w:tcW w:w="739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  <w:tc>
          <w:tcPr>
            <w:tcW w:w="10903" w:type="dxa"/>
            <w:vAlign w:val="center"/>
            <w:hideMark/>
          </w:tcPr>
          <w:p w:rsidR="00000000" w:rsidRDefault="00D87AFE">
            <w:pPr>
              <w:rPr>
                <w:rFonts w:eastAsia="Times New Roman"/>
              </w:rPr>
            </w:pPr>
          </w:p>
        </w:tc>
      </w:tr>
      <w:tr w:rsidR="00000000">
        <w:trPr>
          <w:divId w:val="2305065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№ п/п 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align-center"/>
            </w:pPr>
            <w:r>
              <w:t xml:space="preserve">Показатели </w:t>
            </w:r>
          </w:p>
        </w:tc>
      </w:tr>
      <w:tr w:rsidR="00000000">
        <w:trPr>
          <w:divId w:val="2305065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5.1.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000000">
        <w:trPr>
          <w:divId w:val="2305065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5.2.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000000">
        <w:trPr>
          <w:divId w:val="23050650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5.3.</w:t>
            </w:r>
          </w:p>
        </w:tc>
        <w:tc>
          <w:tcPr>
            <w:tcW w:w="10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D87AFE">
            <w:pPr>
              <w:pStyle w:val="formattext"/>
            </w:pPr>
            <w:r>
              <w:t>Доля получателей образовательных услуг, удовлетворенных в целом условиями оказания обр</w:t>
            </w:r>
            <w:r>
              <w:t>азовательных услуг в организации (в % от общего числа опрошенных получателей услуг)</w:t>
            </w:r>
          </w:p>
        </w:tc>
      </w:tr>
    </w:tbl>
    <w:p w:rsidR="00D87AFE" w:rsidRDefault="00D87AFE">
      <w:pPr>
        <w:divId w:val="18856726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17.09.2019</w:t>
      </w:r>
    </w:p>
    <w:sectPr w:rsidR="00D8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5698E"/>
    <w:rsid w:val="0045698E"/>
    <w:rsid w:val="009F7C23"/>
    <w:rsid w:val="00D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342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80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2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184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0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325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0563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614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26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27035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2</cp:revision>
  <dcterms:created xsi:type="dcterms:W3CDTF">2020-02-14T08:10:00Z</dcterms:created>
  <dcterms:modified xsi:type="dcterms:W3CDTF">2020-02-14T08:10:00Z</dcterms:modified>
</cp:coreProperties>
</file>